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28" w:rsidRDefault="00BC6228" w:rsidP="00BC6228">
      <w:pPr>
        <w:pStyle w:val="ListParagraph"/>
        <w:widowControl w:val="0"/>
        <w:spacing w:before="120" w:after="120" w:line="288" w:lineRule="auto"/>
        <w:ind w:left="108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C6228">
        <w:rPr>
          <w:rFonts w:asciiTheme="majorHAnsi" w:hAnsiTheme="majorHAnsi" w:cstheme="majorHAnsi"/>
          <w:b/>
          <w:sz w:val="28"/>
          <w:szCs w:val="28"/>
        </w:rPr>
        <w:t>THỂ LỆ CHƯƠNG TRÌNH</w:t>
      </w:r>
    </w:p>
    <w:p w:rsidR="00BC6228" w:rsidRPr="003E1A0D" w:rsidRDefault="00BC6228" w:rsidP="00BC6228">
      <w:pPr>
        <w:pStyle w:val="ListParagraph"/>
        <w:spacing w:before="120" w:after="120" w:line="360" w:lineRule="auto"/>
        <w:ind w:left="71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F3A7F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Happy Payroll -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Trả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lương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tài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khoản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ngập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tràn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niềm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vui</w:t>
      </w:r>
      <w:proofErr w:type="spellEnd"/>
      <w:r w:rsidRPr="00BF3A7F">
        <w:rPr>
          <w:rFonts w:ascii="Times New Roman" w:hAnsi="Times New Roman"/>
          <w:b/>
          <w:i/>
          <w:sz w:val="24"/>
          <w:szCs w:val="24"/>
        </w:rPr>
        <w:t>”</w:t>
      </w:r>
    </w:p>
    <w:p w:rsidR="00BC6228" w:rsidRPr="00BC6228" w:rsidRDefault="00BC6228" w:rsidP="00BC6228">
      <w:pPr>
        <w:pStyle w:val="ListParagraph"/>
        <w:widowControl w:val="0"/>
        <w:spacing w:before="120" w:after="120" w:line="288" w:lineRule="auto"/>
        <w:ind w:left="1080"/>
        <w:jc w:val="center"/>
        <w:rPr>
          <w:rFonts w:asciiTheme="majorHAnsi" w:hAnsiTheme="majorHAnsi" w:cstheme="majorHAnsi"/>
          <w:sz w:val="28"/>
          <w:szCs w:val="28"/>
        </w:rPr>
      </w:pPr>
    </w:p>
    <w:p w:rsidR="00BC6228" w:rsidRPr="00BC6228" w:rsidRDefault="00BC6228" w:rsidP="00BC6228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A61F2">
        <w:rPr>
          <w:rFonts w:ascii="Times New Roman" w:hAnsi="Times New Roman"/>
          <w:b/>
          <w:sz w:val="24"/>
          <w:szCs w:val="24"/>
        </w:rPr>
        <w:t>Phạm vi áp dụng</w:t>
      </w:r>
      <w:r w:rsidRPr="001A61F2">
        <w:rPr>
          <w:rFonts w:ascii="Times New Roman" w:hAnsi="Times New Roman"/>
          <w:sz w:val="24"/>
          <w:szCs w:val="24"/>
        </w:rPr>
        <w:t xml:space="preserve">: </w:t>
      </w:r>
      <w:r w:rsidRPr="003E1A0D">
        <w:rPr>
          <w:rFonts w:ascii="Times New Roman" w:hAnsi="Times New Roman"/>
          <w:sz w:val="24"/>
          <w:szCs w:val="24"/>
        </w:rPr>
        <w:t xml:space="preserve">Tất cả </w:t>
      </w:r>
      <w:r w:rsidRPr="00BC6228">
        <w:rPr>
          <w:rFonts w:ascii="Times New Roman" w:hAnsi="Times New Roman"/>
          <w:sz w:val="24"/>
          <w:szCs w:val="24"/>
        </w:rPr>
        <w:t>t</w:t>
      </w:r>
      <w:r w:rsidRPr="00660519">
        <w:rPr>
          <w:rFonts w:ascii="Times New Roman" w:hAnsi="Times New Roman"/>
          <w:sz w:val="24"/>
          <w:szCs w:val="24"/>
        </w:rPr>
        <w:t>rung tâm SME</w:t>
      </w:r>
      <w:r w:rsidRPr="003E1A0D">
        <w:rPr>
          <w:rFonts w:ascii="Times New Roman" w:hAnsi="Times New Roman"/>
          <w:sz w:val="24"/>
          <w:szCs w:val="24"/>
        </w:rPr>
        <w:t xml:space="preserve"> trên toàn hệ thống VPBank</w:t>
      </w:r>
    </w:p>
    <w:p w:rsidR="00BC6228" w:rsidRPr="00BC6228" w:rsidRDefault="00BC6228" w:rsidP="00BC6228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Đối tượng áp dụng:</w:t>
      </w:r>
      <w:r w:rsidRPr="00BC6228">
        <w:rPr>
          <w:rFonts w:ascii="Times New Roman" w:hAnsi="Times New Roman"/>
          <w:b/>
          <w:sz w:val="24"/>
          <w:szCs w:val="24"/>
        </w:rPr>
        <w:t xml:space="preserve"> </w:t>
      </w:r>
      <w:r w:rsidRPr="00B50E8E">
        <w:rPr>
          <w:rFonts w:ascii="Times New Roman" w:eastAsia="Times New Roman" w:hAnsi="Times New Roman"/>
          <w:bCs/>
          <w:iCs/>
          <w:sz w:val="24"/>
          <w:szCs w:val="24"/>
        </w:rPr>
        <w:t xml:space="preserve">Khách hàng doanh nghiệp vừa và nhỏ của VPBank </w:t>
      </w:r>
      <w:r w:rsidRPr="00BC6228">
        <w:rPr>
          <w:rFonts w:ascii="Times New Roman" w:eastAsia="Times New Roman" w:hAnsi="Times New Roman"/>
          <w:bCs/>
          <w:iCs/>
          <w:sz w:val="24"/>
          <w:szCs w:val="24"/>
        </w:rPr>
        <w:t>thỏa mãn mục 5 của chương trình</w:t>
      </w:r>
      <w:bookmarkStart w:id="0" w:name="_GoBack"/>
      <w:bookmarkEnd w:id="0"/>
    </w:p>
    <w:p w:rsidR="00BC6228" w:rsidRPr="003E1A0D" w:rsidRDefault="00BC6228" w:rsidP="00BC6228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A61F2">
        <w:rPr>
          <w:rFonts w:ascii="Times New Roman" w:hAnsi="Times New Roman"/>
          <w:b/>
          <w:sz w:val="24"/>
          <w:szCs w:val="24"/>
        </w:rPr>
        <w:t xml:space="preserve">Thời gian thực hiện: </w:t>
      </w:r>
      <w:r w:rsidRPr="003E1A0D">
        <w:rPr>
          <w:rFonts w:ascii="Times New Roman" w:hAnsi="Times New Roman"/>
          <w:b/>
          <w:sz w:val="24"/>
          <w:szCs w:val="24"/>
          <w:lang w:val="en-US"/>
        </w:rPr>
        <w:t>01/01/2016 - 30/0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  <w:r w:rsidRPr="003E1A0D">
        <w:rPr>
          <w:rFonts w:ascii="Times New Roman" w:hAnsi="Times New Roman"/>
          <w:b/>
          <w:sz w:val="24"/>
          <w:szCs w:val="24"/>
          <w:lang w:val="en-US"/>
        </w:rPr>
        <w:t>/2016</w:t>
      </w:r>
    </w:p>
    <w:p w:rsidR="00BC6228" w:rsidRPr="003E1A0D" w:rsidRDefault="00BC6228" w:rsidP="00BC6228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66DFE">
        <w:rPr>
          <w:rFonts w:ascii="Times New Roman" w:hAnsi="Times New Roman"/>
          <w:b/>
          <w:sz w:val="24"/>
          <w:szCs w:val="24"/>
        </w:rPr>
        <w:t xml:space="preserve">Tên chương trình: </w:t>
      </w:r>
      <w:r w:rsidRPr="00BF3A7F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Happy Payroll -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Trả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lương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tài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khoản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ngập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tràn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niềm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vui</w:t>
      </w:r>
      <w:proofErr w:type="spellEnd"/>
      <w:r w:rsidRPr="00BF3A7F">
        <w:rPr>
          <w:rFonts w:ascii="Times New Roman" w:hAnsi="Times New Roman"/>
          <w:b/>
          <w:i/>
          <w:sz w:val="24"/>
          <w:szCs w:val="24"/>
        </w:rPr>
        <w:t>”</w:t>
      </w:r>
    </w:p>
    <w:p w:rsidR="00BC6228" w:rsidRPr="003E1A0D" w:rsidRDefault="00BC6228" w:rsidP="00BC6228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E1A0D">
        <w:rPr>
          <w:rFonts w:ascii="Times New Roman" w:hAnsi="Times New Roman"/>
          <w:b/>
          <w:sz w:val="24"/>
          <w:szCs w:val="24"/>
        </w:rPr>
        <w:t>Điều kiện của chương trình:</w:t>
      </w:r>
    </w:p>
    <w:p w:rsidR="00BC6228" w:rsidRPr="003E1A0D" w:rsidRDefault="00BC6228" w:rsidP="00BC6228">
      <w:pPr>
        <w:pStyle w:val="ListParagraph"/>
        <w:spacing w:before="120" w:after="120" w:line="36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A0D">
        <w:rPr>
          <w:rFonts w:ascii="Times New Roman" w:hAnsi="Times New Roman"/>
          <w:sz w:val="24"/>
          <w:szCs w:val="24"/>
        </w:rPr>
        <w:t xml:space="preserve">Khách hàng SME sử dụng thành công dịch vụ trả lương qua tài khoản (đổ lương thành công) trong thời gian diễn ra chương trình với điều kiện </w:t>
      </w:r>
      <w:r w:rsidRPr="007D7D2D">
        <w:rPr>
          <w:rFonts w:ascii="Times New Roman" w:hAnsi="Times New Roman"/>
          <w:b/>
          <w:sz w:val="24"/>
          <w:szCs w:val="24"/>
        </w:rPr>
        <w:t>số lượng tài khoản lương là tối thiểu 10 tài khoản</w:t>
      </w:r>
      <w:r w:rsidRPr="003E1A0D">
        <w:rPr>
          <w:rFonts w:ascii="Times New Roman" w:hAnsi="Times New Roman"/>
          <w:sz w:val="24"/>
          <w:szCs w:val="24"/>
        </w:rPr>
        <w:t>.</w:t>
      </w:r>
    </w:p>
    <w:p w:rsidR="00BC6228" w:rsidRPr="001A61F2" w:rsidRDefault="00BC6228" w:rsidP="00BC6228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A61F2">
        <w:rPr>
          <w:rFonts w:ascii="Times New Roman" w:hAnsi="Times New Roman"/>
          <w:b/>
          <w:sz w:val="24"/>
          <w:szCs w:val="24"/>
        </w:rPr>
        <w:t xml:space="preserve">Cơ chế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Ưu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đãi</w:t>
      </w:r>
      <w:proofErr w:type="spellEnd"/>
      <w:r w:rsidRPr="001A61F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:</w:t>
      </w:r>
    </w:p>
    <w:p w:rsidR="00BC6228" w:rsidRPr="001A61F2" w:rsidRDefault="00BC6228" w:rsidP="00BC6228">
      <w:pPr>
        <w:pStyle w:val="ListParagraph"/>
        <w:numPr>
          <w:ilvl w:val="1"/>
          <w:numId w:val="1"/>
        </w:numPr>
        <w:spacing w:before="240" w:after="0" w:line="360" w:lineRule="auto"/>
        <w:ind w:left="1077" w:hanging="35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Dành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cho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E1A0D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doanh</w:t>
      </w:r>
      <w:proofErr w:type="spellEnd"/>
      <w:r w:rsidRPr="003E1A0D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E1A0D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nghiệp</w:t>
      </w:r>
      <w:proofErr w:type="spellEnd"/>
      <w:r w:rsidRPr="001A61F2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</w:p>
    <w:p w:rsidR="00BC6228" w:rsidRPr="003E1A0D" w:rsidRDefault="00BC6228" w:rsidP="00BC6228">
      <w:pPr>
        <w:pStyle w:val="ListParagraph"/>
        <w:numPr>
          <w:ilvl w:val="0"/>
          <w:numId w:val="2"/>
        </w:numPr>
        <w:spacing w:line="360" w:lineRule="auto"/>
        <w:ind w:left="1560" w:hanging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A0D">
        <w:rPr>
          <w:rFonts w:ascii="Times New Roman" w:hAnsi="Times New Roman"/>
          <w:color w:val="000000" w:themeColor="text1"/>
          <w:sz w:val="24"/>
          <w:szCs w:val="24"/>
        </w:rPr>
        <w:t>Miễn phí dịch vụ chi trả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lương</w:t>
      </w:r>
      <w:r w:rsidRPr="00402133">
        <w:rPr>
          <w:rFonts w:ascii="Times New Roman" w:hAnsi="Times New Roman"/>
          <w:color w:val="000000" w:themeColor="text1"/>
          <w:sz w:val="24"/>
          <w:szCs w:val="24"/>
        </w:rPr>
        <w:t xml:space="preserve"> và quản lý tài khoản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2AD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E1A0D">
        <w:rPr>
          <w:rFonts w:ascii="Times New Roman" w:hAnsi="Times New Roman"/>
          <w:color w:val="000000" w:themeColor="text1"/>
          <w:sz w:val="24"/>
          <w:szCs w:val="24"/>
        </w:rPr>
        <w:t xml:space="preserve"> tháng </w:t>
      </w:r>
      <w:r w:rsidRPr="00044D44">
        <w:rPr>
          <w:rFonts w:ascii="Times New Roman" w:hAnsi="Times New Roman"/>
          <w:color w:val="000000" w:themeColor="text1"/>
          <w:sz w:val="24"/>
          <w:szCs w:val="24"/>
        </w:rPr>
        <w:t xml:space="preserve">đầu tiên </w:t>
      </w:r>
      <w:r w:rsidRPr="003E1A0D">
        <w:rPr>
          <w:rFonts w:ascii="Times New Roman" w:hAnsi="Times New Roman"/>
          <w:color w:val="000000" w:themeColor="text1"/>
          <w:sz w:val="24"/>
          <w:szCs w:val="24"/>
        </w:rPr>
        <w:t>cho doanh nghiệp.</w:t>
      </w:r>
      <w:r w:rsidRPr="00505E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C6228" w:rsidRPr="00D744E7" w:rsidRDefault="00BC6228" w:rsidP="00BC6228">
      <w:pPr>
        <w:pStyle w:val="ListParagraph"/>
        <w:numPr>
          <w:ilvl w:val="0"/>
          <w:numId w:val="2"/>
        </w:numPr>
        <w:spacing w:line="360" w:lineRule="auto"/>
        <w:ind w:left="1560" w:hanging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A0D">
        <w:rPr>
          <w:rFonts w:ascii="Times New Roman" w:hAnsi="Times New Roman"/>
          <w:color w:val="000000" w:themeColor="text1"/>
          <w:sz w:val="24"/>
          <w:szCs w:val="24"/>
        </w:rPr>
        <w:t>Phát hành thẻ tín dụng tín chấp</w:t>
      </w:r>
      <w:r w:rsidRPr="0014321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E1A0D">
        <w:rPr>
          <w:rFonts w:ascii="Times New Roman" w:hAnsi="Times New Roman"/>
          <w:color w:val="000000" w:themeColor="text1"/>
          <w:sz w:val="24"/>
          <w:szCs w:val="24"/>
        </w:rPr>
        <w:t xml:space="preserve"> miễn phí </w:t>
      </w:r>
      <w:r w:rsidRPr="00143211">
        <w:rPr>
          <w:rFonts w:ascii="Times New Roman" w:hAnsi="Times New Roman"/>
          <w:color w:val="000000" w:themeColor="text1"/>
          <w:sz w:val="24"/>
          <w:szCs w:val="24"/>
        </w:rPr>
        <w:t xml:space="preserve">phát hành và phí </w:t>
      </w:r>
      <w:r w:rsidRPr="003E1A0D">
        <w:rPr>
          <w:rFonts w:ascii="Times New Roman" w:hAnsi="Times New Roman"/>
          <w:color w:val="000000" w:themeColor="text1"/>
          <w:sz w:val="24"/>
          <w:szCs w:val="24"/>
        </w:rPr>
        <w:t>thường niên thẻ</w:t>
      </w:r>
      <w:r w:rsidRPr="00505EC0">
        <w:rPr>
          <w:rFonts w:ascii="Times New Roman" w:hAnsi="Times New Roman"/>
          <w:color w:val="000000" w:themeColor="text1"/>
          <w:sz w:val="24"/>
          <w:szCs w:val="24"/>
        </w:rPr>
        <w:t xml:space="preserve"> 1 năm </w:t>
      </w:r>
      <w:r w:rsidRPr="003E1A0D">
        <w:rPr>
          <w:rFonts w:ascii="Times New Roman" w:hAnsi="Times New Roman"/>
          <w:color w:val="000000" w:themeColor="text1"/>
          <w:sz w:val="24"/>
          <w:szCs w:val="24"/>
        </w:rPr>
        <w:t>cho</w:t>
      </w:r>
      <w:r w:rsidRPr="00676963">
        <w:rPr>
          <w:rFonts w:ascii="Times New Roman" w:hAnsi="Times New Roman"/>
          <w:color w:val="000000" w:themeColor="text1"/>
          <w:sz w:val="24"/>
          <w:szCs w:val="24"/>
        </w:rPr>
        <w:t xml:space="preserve"> Doanh nghiệp/</w:t>
      </w:r>
      <w:r w:rsidRPr="003E1A0D">
        <w:rPr>
          <w:rFonts w:ascii="Times New Roman" w:hAnsi="Times New Roman"/>
          <w:color w:val="000000" w:themeColor="text1"/>
          <w:sz w:val="24"/>
          <w:szCs w:val="24"/>
        </w:rPr>
        <w:t>lãnh đạo doanh nghiệp và/hoặc KTT. Hạn mức thẻ tín dụng</w:t>
      </w:r>
      <w:r w:rsidRPr="00660519">
        <w:rPr>
          <w:rFonts w:ascii="Times New Roman" w:hAnsi="Times New Roman"/>
          <w:color w:val="000000" w:themeColor="text1"/>
          <w:sz w:val="24"/>
          <w:szCs w:val="24"/>
        </w:rPr>
        <w:t xml:space="preserve"> và thủ tục phát hành</w:t>
      </w:r>
      <w:r w:rsidRPr="003E1A0D">
        <w:rPr>
          <w:rFonts w:ascii="Times New Roman" w:hAnsi="Times New Roman"/>
          <w:color w:val="000000" w:themeColor="text1"/>
          <w:sz w:val="24"/>
          <w:szCs w:val="24"/>
        </w:rPr>
        <w:t xml:space="preserve"> tuân theo các quy định hiện hành của VP</w:t>
      </w:r>
      <w:r w:rsidRPr="00044D44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3E1A0D">
        <w:rPr>
          <w:rFonts w:ascii="Times New Roman" w:hAnsi="Times New Roman"/>
          <w:color w:val="000000" w:themeColor="text1"/>
          <w:sz w:val="24"/>
          <w:szCs w:val="24"/>
        </w:rPr>
        <w:t xml:space="preserve">ank. </w:t>
      </w:r>
    </w:p>
    <w:p w:rsidR="00BC6228" w:rsidRPr="00C978D2" w:rsidRDefault="00BC6228" w:rsidP="00BC6228">
      <w:pPr>
        <w:pStyle w:val="ListParagraph"/>
        <w:numPr>
          <w:ilvl w:val="0"/>
          <w:numId w:val="2"/>
        </w:numPr>
        <w:spacing w:line="360" w:lineRule="auto"/>
        <w:ind w:left="1560" w:hanging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44E7">
        <w:rPr>
          <w:rFonts w:ascii="Times New Roman" w:hAnsi="Times New Roman"/>
          <w:color w:val="000000" w:themeColor="text1"/>
          <w:sz w:val="24"/>
          <w:szCs w:val="24"/>
        </w:rPr>
        <w:t>Miễn phí đăng ký và phí sử dụng dịch vụ Ngân hàng điện tử</w:t>
      </w:r>
      <w:r w:rsidRPr="00505EC0">
        <w:rPr>
          <w:rFonts w:ascii="Times New Roman" w:hAnsi="Times New Roman"/>
          <w:color w:val="000000" w:themeColor="text1"/>
          <w:sz w:val="24"/>
          <w:szCs w:val="24"/>
        </w:rPr>
        <w:t xml:space="preserve"> 1 năm</w:t>
      </w:r>
      <w:r w:rsidRPr="00D744E7">
        <w:rPr>
          <w:rFonts w:ascii="Times New Roman" w:hAnsi="Times New Roman"/>
          <w:color w:val="000000" w:themeColor="text1"/>
          <w:sz w:val="24"/>
          <w:szCs w:val="24"/>
        </w:rPr>
        <w:t xml:space="preserve"> cho doanh </w:t>
      </w:r>
      <w:r w:rsidRPr="00C978D2">
        <w:rPr>
          <w:rFonts w:ascii="Times New Roman" w:hAnsi="Times New Roman"/>
          <w:color w:val="000000" w:themeColor="text1"/>
          <w:sz w:val="24"/>
          <w:szCs w:val="24"/>
        </w:rPr>
        <w:t>nghiệp.</w:t>
      </w:r>
    </w:p>
    <w:p w:rsidR="00BC6228" w:rsidRPr="001F100C" w:rsidRDefault="00BC6228" w:rsidP="00BC6228">
      <w:pPr>
        <w:pStyle w:val="ListParagraph"/>
        <w:numPr>
          <w:ilvl w:val="0"/>
          <w:numId w:val="2"/>
        </w:numPr>
        <w:spacing w:line="360" w:lineRule="auto"/>
        <w:ind w:left="1560" w:hanging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519">
        <w:rPr>
          <w:rFonts w:ascii="Times New Roman" w:hAnsi="Times New Roman"/>
          <w:b/>
          <w:color w:val="000000" w:themeColor="text1"/>
          <w:sz w:val="24"/>
          <w:szCs w:val="24"/>
        </w:rPr>
        <w:t>20 phần quà là bộ bút ký và USB cao cấp trị giá 500.000 VND</w:t>
      </w:r>
      <w:r w:rsidRPr="0066051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(hoặc tương đương)</w:t>
      </w:r>
      <w:r w:rsidRPr="006605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cho 20 khách hàng tham gia chương trình sớm nhất</w:t>
      </w:r>
      <w:r w:rsidRPr="00C978D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29C0">
        <w:rPr>
          <w:rFonts w:ascii="Times New Roman" w:hAnsi="Times New Roman"/>
          <w:color w:val="000000" w:themeColor="text1"/>
          <w:sz w:val="24"/>
          <w:szCs w:val="24"/>
        </w:rPr>
        <w:t>Quà tặng được tổng hợp cuối mỗi tháng hoặc ngay khi ĐVKD gửi yêu cầu chi quà cho Khách hàng</w:t>
      </w:r>
      <w:r w:rsidRPr="005015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029C0">
        <w:rPr>
          <w:rFonts w:ascii="Times New Roman" w:hAnsi="Times New Roman"/>
          <w:color w:val="000000" w:themeColor="text1"/>
          <w:sz w:val="24"/>
          <w:szCs w:val="24"/>
        </w:rPr>
        <w:t>ĐVKD gửi sao kê tài khoản thể hiện bút toán đổ lương thành công cho Phòng Trade &amp; Cash để xác nhận điều kiện nhậ</w:t>
      </w:r>
      <w:r>
        <w:rPr>
          <w:rFonts w:ascii="Times New Roman" w:hAnsi="Times New Roman"/>
          <w:color w:val="000000" w:themeColor="text1"/>
          <w:sz w:val="24"/>
          <w:szCs w:val="24"/>
        </w:rPr>
        <w:t>n quà</w:t>
      </w:r>
      <w:r w:rsidRPr="005015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C6228" w:rsidRPr="00BC6228" w:rsidRDefault="00BC6228" w:rsidP="00BC6228">
      <w:pPr>
        <w:spacing w:line="360" w:lineRule="auto"/>
        <w:ind w:left="1080"/>
        <w:jc w:val="both"/>
        <w:rPr>
          <w:color w:val="000000" w:themeColor="text1"/>
          <w:sz w:val="24"/>
          <w:szCs w:val="24"/>
          <w:lang w:val="vi-VN"/>
        </w:rPr>
      </w:pPr>
      <w:r w:rsidRPr="001F100C">
        <w:rPr>
          <w:color w:val="000000" w:themeColor="text1"/>
          <w:sz w:val="24"/>
          <w:szCs w:val="24"/>
          <w:lang w:val="vi-VN"/>
        </w:rPr>
        <w:t>Ngoài ra, các cá nhân có tài khoản lương tại VPBank sẽ được hưởng nhiều</w:t>
      </w:r>
      <w:r>
        <w:rPr>
          <w:color w:val="000000" w:themeColor="text1"/>
          <w:sz w:val="24"/>
          <w:szCs w:val="24"/>
          <w:lang w:val="vi-VN"/>
        </w:rPr>
        <w:t xml:space="preserve"> ưu đ</w:t>
      </w:r>
      <w:r w:rsidRPr="001F100C">
        <w:rPr>
          <w:color w:val="000000" w:themeColor="text1"/>
          <w:sz w:val="24"/>
          <w:szCs w:val="24"/>
          <w:lang w:val="vi-VN"/>
        </w:rPr>
        <w:t xml:space="preserve">ãi hiện hành như: </w:t>
      </w:r>
    </w:p>
    <w:p w:rsidR="00BC6228" w:rsidRPr="00BC6228" w:rsidRDefault="00BC6228" w:rsidP="00BC6228">
      <w:pPr>
        <w:spacing w:line="360" w:lineRule="auto"/>
        <w:ind w:left="1080"/>
        <w:jc w:val="both"/>
        <w:rPr>
          <w:color w:val="000000" w:themeColor="text1"/>
          <w:sz w:val="24"/>
          <w:szCs w:val="24"/>
          <w:lang w:val="vi-VN"/>
        </w:rPr>
      </w:pPr>
      <w:r w:rsidRPr="00BC6228">
        <w:rPr>
          <w:color w:val="000000" w:themeColor="text1"/>
          <w:sz w:val="24"/>
          <w:szCs w:val="24"/>
          <w:lang w:val="vi-VN"/>
        </w:rPr>
        <w:t xml:space="preserve">- </w:t>
      </w:r>
      <w:r w:rsidRPr="001F100C">
        <w:rPr>
          <w:color w:val="000000" w:themeColor="text1"/>
          <w:sz w:val="24"/>
          <w:szCs w:val="24"/>
          <w:lang w:val="vi-VN"/>
        </w:rPr>
        <w:t xml:space="preserve">Miễn phí phát hành thẻ, </w:t>
      </w:r>
    </w:p>
    <w:p w:rsidR="00BC6228" w:rsidRPr="00BC6228" w:rsidRDefault="00BC6228" w:rsidP="00BC6228">
      <w:pPr>
        <w:spacing w:line="360" w:lineRule="auto"/>
        <w:ind w:left="1080"/>
        <w:jc w:val="both"/>
        <w:rPr>
          <w:color w:val="000000" w:themeColor="text1"/>
          <w:sz w:val="24"/>
          <w:szCs w:val="24"/>
          <w:lang w:val="vi-VN"/>
        </w:rPr>
      </w:pPr>
      <w:r w:rsidRPr="00BC6228">
        <w:rPr>
          <w:color w:val="000000" w:themeColor="text1"/>
          <w:sz w:val="24"/>
          <w:szCs w:val="24"/>
          <w:lang w:val="vi-VN"/>
        </w:rPr>
        <w:lastRenderedPageBreak/>
        <w:t xml:space="preserve">- </w:t>
      </w:r>
      <w:r w:rsidRPr="001F100C">
        <w:rPr>
          <w:color w:val="000000" w:themeColor="text1"/>
          <w:sz w:val="24"/>
          <w:szCs w:val="24"/>
          <w:lang w:val="vi-VN"/>
        </w:rPr>
        <w:t xml:space="preserve">Miễn phí 1 năm dịch vụ Ngân hàng điện tử khi đăng ký thành công VPBank Online, </w:t>
      </w:r>
    </w:p>
    <w:p w:rsidR="00BC6228" w:rsidRPr="00BC6228" w:rsidRDefault="00BC6228" w:rsidP="00BC6228">
      <w:pPr>
        <w:spacing w:line="360" w:lineRule="auto"/>
        <w:ind w:left="1080"/>
        <w:jc w:val="both"/>
        <w:rPr>
          <w:i/>
          <w:color w:val="0070C0"/>
          <w:sz w:val="24"/>
          <w:szCs w:val="24"/>
          <w:lang w:val="vi-VN"/>
        </w:rPr>
      </w:pPr>
      <w:r w:rsidRPr="00BC6228">
        <w:rPr>
          <w:color w:val="000000" w:themeColor="text1"/>
          <w:sz w:val="24"/>
          <w:szCs w:val="24"/>
          <w:lang w:val="vi-VN"/>
        </w:rPr>
        <w:t xml:space="preserve">- </w:t>
      </w:r>
      <w:r w:rsidRPr="00660519">
        <w:rPr>
          <w:color w:val="000000" w:themeColor="text1"/>
          <w:sz w:val="24"/>
          <w:szCs w:val="24"/>
          <w:lang w:val="vi-VN"/>
        </w:rPr>
        <w:t>M</w:t>
      </w:r>
      <w:r w:rsidRPr="001F100C">
        <w:rPr>
          <w:color w:val="000000" w:themeColor="text1"/>
          <w:sz w:val="24"/>
          <w:szCs w:val="24"/>
          <w:lang w:val="vi-VN"/>
        </w:rPr>
        <w:t>iễn phí phát hành và phí thường niên 1 năm khi mở thẻ tín dụng</w:t>
      </w:r>
      <w:r w:rsidRPr="001F100C">
        <w:rPr>
          <w:i/>
          <w:color w:val="0070C0"/>
          <w:sz w:val="24"/>
          <w:szCs w:val="24"/>
          <w:lang w:val="vi-VN"/>
        </w:rPr>
        <w:t>,</w:t>
      </w:r>
    </w:p>
    <w:p w:rsidR="00BC6228" w:rsidRDefault="00BC6228" w:rsidP="00BC6228">
      <w:pPr>
        <w:spacing w:line="360" w:lineRule="auto"/>
        <w:ind w:left="108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- </w:t>
      </w:r>
      <w:r w:rsidRPr="001F100C">
        <w:rPr>
          <w:i/>
          <w:color w:val="0070C0"/>
          <w:sz w:val="24"/>
          <w:szCs w:val="24"/>
          <w:lang w:val="vi-VN"/>
        </w:rPr>
        <w:t xml:space="preserve"> </w:t>
      </w:r>
      <w:r w:rsidRPr="001F100C">
        <w:rPr>
          <w:color w:val="000000" w:themeColor="text1"/>
          <w:sz w:val="24"/>
          <w:szCs w:val="24"/>
          <w:lang w:val="vi-VN"/>
        </w:rPr>
        <w:t xml:space="preserve">Giảm lãi suất khi vay vốn tín chấp </w:t>
      </w:r>
      <w:proofErr w:type="gramStart"/>
      <w:r w:rsidRPr="001F100C">
        <w:rPr>
          <w:color w:val="000000" w:themeColor="text1"/>
          <w:sz w:val="24"/>
          <w:szCs w:val="24"/>
          <w:lang w:val="vi-VN"/>
        </w:rPr>
        <w:t>theo</w:t>
      </w:r>
      <w:proofErr w:type="gramEnd"/>
      <w:r w:rsidRPr="001F100C">
        <w:rPr>
          <w:color w:val="000000" w:themeColor="text1"/>
          <w:sz w:val="24"/>
          <w:szCs w:val="24"/>
          <w:lang w:val="vi-VN"/>
        </w:rPr>
        <w:t xml:space="preserve"> các quy định hiện hành tại VPB </w:t>
      </w:r>
      <w:r w:rsidRPr="00660519">
        <w:rPr>
          <w:i/>
          <w:color w:val="0070C0"/>
          <w:sz w:val="24"/>
          <w:szCs w:val="24"/>
          <w:lang w:val="vi-VN"/>
        </w:rPr>
        <w:t>(hiện tại lãi suất được giảm 2% cho mức lãi suất tương ứng theo biểu lãi suất dành cho KHCN từng thời kỳ theo quyết định 4507-2014-QĐ-TGĐ ngày 19/09/2014),</w:t>
      </w:r>
    </w:p>
    <w:p w:rsidR="00BC6228" w:rsidRPr="004916D5" w:rsidRDefault="00BC6228" w:rsidP="00BC6228">
      <w:pPr>
        <w:spacing w:line="360" w:lineRule="auto"/>
        <w:ind w:left="1080"/>
        <w:jc w:val="both"/>
        <w:rPr>
          <w:color w:val="000000" w:themeColor="text1"/>
          <w:sz w:val="24"/>
          <w:szCs w:val="24"/>
          <w:lang w:val="vi-VN"/>
        </w:rPr>
      </w:pPr>
      <w:r w:rsidRPr="00660519">
        <w:rPr>
          <w:i/>
          <w:color w:val="0070C0"/>
          <w:sz w:val="24"/>
          <w:szCs w:val="24"/>
          <w:lang w:val="vi-VN"/>
        </w:rPr>
        <w:t xml:space="preserve"> </w:t>
      </w:r>
      <w:r w:rsidRPr="004916D5">
        <w:rPr>
          <w:i/>
          <w:color w:val="0070C0"/>
          <w:sz w:val="24"/>
          <w:szCs w:val="24"/>
          <w:lang w:val="vi-VN"/>
        </w:rPr>
        <w:t xml:space="preserve">- </w:t>
      </w:r>
      <w:r w:rsidRPr="00660519">
        <w:rPr>
          <w:color w:val="000000" w:themeColor="text1"/>
          <w:sz w:val="24"/>
          <w:szCs w:val="24"/>
          <w:lang w:val="vi-VN"/>
        </w:rPr>
        <w:t xml:space="preserve">Hưởng lãi suất ưu đãi khi tiết kiệm điện tử: lãi suất cộng thêm 0.2%/năm so với tiết kiệm tại quầy,… </w:t>
      </w:r>
    </w:p>
    <w:p w:rsidR="00BC6228" w:rsidRPr="00660519" w:rsidRDefault="00BC6228" w:rsidP="00BC6228">
      <w:pPr>
        <w:spacing w:line="360" w:lineRule="auto"/>
        <w:ind w:left="1080"/>
        <w:jc w:val="both"/>
        <w:rPr>
          <w:color w:val="000000" w:themeColor="text1"/>
          <w:sz w:val="24"/>
          <w:szCs w:val="24"/>
          <w:lang w:val="vi-VN"/>
        </w:rPr>
      </w:pPr>
      <w:r w:rsidRPr="00660519">
        <w:rPr>
          <w:color w:val="000000" w:themeColor="text1"/>
          <w:sz w:val="24"/>
          <w:szCs w:val="24"/>
          <w:lang w:val="vi-VN"/>
        </w:rPr>
        <w:t xml:space="preserve">(Chi tiết ĐVKD tham khảo các </w:t>
      </w:r>
      <w:r w:rsidRPr="00BC6228">
        <w:rPr>
          <w:color w:val="000000" w:themeColor="text1"/>
          <w:sz w:val="24"/>
          <w:szCs w:val="24"/>
          <w:lang w:val="vi-VN"/>
        </w:rPr>
        <w:t>chương trình sản phẩm</w:t>
      </w:r>
      <w:r w:rsidRPr="00660519">
        <w:rPr>
          <w:color w:val="000000" w:themeColor="text1"/>
          <w:sz w:val="24"/>
          <w:szCs w:val="24"/>
          <w:lang w:val="vi-VN"/>
        </w:rPr>
        <w:t xml:space="preserve"> ưu đãi của Khối KHCN</w:t>
      </w:r>
      <w:r w:rsidRPr="00BC6228">
        <w:rPr>
          <w:color w:val="000000" w:themeColor="text1"/>
          <w:sz w:val="24"/>
          <w:szCs w:val="24"/>
          <w:lang w:val="vi-VN"/>
        </w:rPr>
        <w:t xml:space="preserve"> để biết rõ các ưu đãi dành cho KHCN</w:t>
      </w:r>
      <w:r w:rsidRPr="00660519">
        <w:rPr>
          <w:color w:val="000000" w:themeColor="text1"/>
          <w:sz w:val="24"/>
          <w:szCs w:val="24"/>
          <w:lang w:val="vi-VN"/>
        </w:rPr>
        <w:t>)</w:t>
      </w:r>
    </w:p>
    <w:p w:rsidR="00DA41A4" w:rsidRPr="00BC6228" w:rsidRDefault="001124DD">
      <w:pPr>
        <w:rPr>
          <w:lang w:val="vi-VN"/>
        </w:rPr>
      </w:pPr>
    </w:p>
    <w:sectPr w:rsidR="00DA41A4" w:rsidRPr="00BC6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DD" w:rsidRDefault="001124DD" w:rsidP="00BC6228">
      <w:r>
        <w:separator/>
      </w:r>
    </w:p>
  </w:endnote>
  <w:endnote w:type="continuationSeparator" w:id="0">
    <w:p w:rsidR="001124DD" w:rsidRDefault="001124DD" w:rsidP="00BC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DD" w:rsidRDefault="001124DD" w:rsidP="00BC6228">
      <w:r>
        <w:separator/>
      </w:r>
    </w:p>
  </w:footnote>
  <w:footnote w:type="continuationSeparator" w:id="0">
    <w:p w:rsidR="001124DD" w:rsidRDefault="001124DD" w:rsidP="00BC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428"/>
    <w:multiLevelType w:val="multilevel"/>
    <w:tmpl w:val="909AE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D3A53BF"/>
    <w:multiLevelType w:val="hybridMultilevel"/>
    <w:tmpl w:val="0E8A28B4"/>
    <w:lvl w:ilvl="0" w:tplc="F1FE61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28"/>
    <w:rsid w:val="001124DD"/>
    <w:rsid w:val="00BC6228"/>
    <w:rsid w:val="00BC628F"/>
    <w:rsid w:val="00B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22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C6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228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228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22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C6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228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228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thaontp28</dc:creator>
  <cp:lastModifiedBy>thaontp28</cp:lastModifiedBy>
  <cp:revision>1</cp:revision>
  <dcterms:created xsi:type="dcterms:W3CDTF">2016-02-22T02:03:00Z</dcterms:created>
  <dcterms:modified xsi:type="dcterms:W3CDTF">2016-02-22T02:07:00Z</dcterms:modified>
</cp:coreProperties>
</file>